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ind w:firstLine="0"/>
        <w:rPr>
          <w:rFonts w:hint="eastAsia" w:ascii="Times New Roman" w:hAnsi="Times New Roman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color w:val="auto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-6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-6"/>
          <w:kern w:val="2"/>
          <w:sz w:val="44"/>
          <w:szCs w:val="44"/>
          <w:lang w:val="en-US" w:eastAsia="zh-CN"/>
        </w:rPr>
        <w:t>广州市片区人才年金方案范本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/>
          <w:color w:val="auto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jc w:val="both"/>
        <w:textAlignment w:val="auto"/>
        <w:rPr>
          <w:rFonts w:ascii="Times New Roman" w:hAnsi="Times New Roman" w:eastAsia="仿宋_GB2312" w:cs="仿宋_GB2312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color w:val="auto"/>
          <w:sz w:val="32"/>
          <w:szCs w:val="32"/>
        </w:rPr>
        <w:t>第一条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 xml:space="preserve"> 本方案</w:t>
      </w:r>
      <w:r>
        <w:rPr>
          <w:rFonts w:ascii="Times New Roman" w:hAnsi="Times New Roman" w:eastAsia="仿宋_GB2312" w:cs="仿宋_GB2312"/>
          <w:color w:val="auto"/>
          <w:sz w:val="32"/>
          <w:szCs w:val="32"/>
        </w:rPr>
        <w:t>依据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《企业年金办法》</w:t>
      </w:r>
      <w:r>
        <w:rPr>
          <w:rFonts w:ascii="Times New Roman" w:hAnsi="Times New Roman" w:eastAsia="仿宋_GB2312"/>
          <w:color w:val="auto"/>
          <w:sz w:val="32"/>
          <w:szCs w:val="32"/>
        </w:rPr>
        <w:t>（人力资源和社会保障部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仿宋_GB2312"/>
          <w:color w:val="auto"/>
          <w:sz w:val="32"/>
          <w:szCs w:val="32"/>
        </w:rPr>
        <w:t>财政部令第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36</w:t>
      </w:r>
      <w:r>
        <w:rPr>
          <w:rFonts w:ascii="Times New Roman" w:hAnsi="Times New Roman" w:eastAsia="仿宋_GB2312"/>
          <w:color w:val="auto"/>
          <w:sz w:val="32"/>
          <w:szCs w:val="32"/>
        </w:rPr>
        <w:t>号）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《企业年金基金管理办法》（人力资源和社会保障部令第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11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号）</w:t>
      </w:r>
      <w:r>
        <w:rPr>
          <w:rFonts w:ascii="Times New Roman" w:hAnsi="Times New Roman" w:eastAsia="仿宋_GB2312"/>
          <w:color w:val="auto"/>
          <w:sz w:val="32"/>
          <w:szCs w:val="32"/>
        </w:rPr>
        <w:t>等</w:t>
      </w:r>
      <w:r>
        <w:rPr>
          <w:rFonts w:ascii="Times New Roman" w:hAnsi="Times New Roman" w:eastAsia="仿宋_GB2312" w:cs="仿宋_GB2312"/>
          <w:color w:val="auto"/>
          <w:sz w:val="32"/>
          <w:szCs w:val="32"/>
        </w:rPr>
        <w:t>规定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制定。本方案未明确的其他事项，均按国家颁布的企业年金相关规定以及</w:t>
      </w:r>
      <w:r>
        <w:rPr>
          <w:rFonts w:hint="default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人社部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制作的企业年金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方案范本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执行</w:t>
      </w:r>
      <w:r>
        <w:rPr>
          <w:rFonts w:ascii="Times New Roman" w:hAnsi="Times New Roman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b/>
          <w:color w:val="auto"/>
          <w:sz w:val="32"/>
          <w:szCs w:val="32"/>
        </w:rPr>
        <w:t xml:space="preserve">第二条 </w:t>
      </w:r>
      <w:r>
        <w:rPr>
          <w:rFonts w:hint="eastAsia" w:ascii="Times New Roman" w:hAnsi="Times New Roman" w:eastAsia="仿宋_GB2312" w:cs="Times New Roman"/>
          <w:bCs/>
          <w:color w:val="auto"/>
          <w:sz w:val="32"/>
          <w:szCs w:val="32"/>
          <w:lang w:val="en-US" w:eastAsia="zh-CN"/>
        </w:rPr>
        <w:t>由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u w:val="single"/>
        </w:rPr>
        <w:t xml:space="preserve">        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u w:val="none"/>
          <w:lang w:val="en-US" w:eastAsia="zh-CN"/>
        </w:rPr>
        <w:t>部门/单位/协会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u w:val="none"/>
          <w:lang w:eastAsia="zh-CN"/>
        </w:rPr>
        <w:t>）</w:t>
      </w:r>
      <w:r>
        <w:rPr>
          <w:rFonts w:hint="eastAsia" w:ascii="Times New Roman" w:hAnsi="Times New Roman" w:eastAsia="仿宋_GB2312" w:cs="Times New Roman"/>
          <w:bCs/>
          <w:color w:val="auto"/>
          <w:sz w:val="32"/>
          <w:szCs w:val="32"/>
          <w:lang w:val="en-US" w:eastAsia="zh-CN"/>
        </w:rPr>
        <w:t>牵头</w:t>
      </w:r>
      <w:r>
        <w:rPr>
          <w:rFonts w:hint="eastAsia" w:ascii="Times New Roman" w:hAnsi="Times New Roman" w:eastAsia="仿宋_GB2312" w:cs="Times New Roman"/>
          <w:bCs/>
          <w:color w:val="auto"/>
          <w:sz w:val="32"/>
          <w:szCs w:val="32"/>
          <w:u w:val="none"/>
          <w:lang w:val="en-US" w:eastAsia="zh-CN"/>
        </w:rPr>
        <w:t>，按相关规定及程序，</w:t>
      </w:r>
      <w:r>
        <w:rPr>
          <w:rFonts w:hint="default" w:ascii="Times New Roman" w:hAnsi="Times New Roman" w:eastAsia="仿宋_GB2312" w:cs="Times New Roman"/>
          <w:bCs/>
          <w:color w:val="auto"/>
          <w:sz w:val="32"/>
          <w:szCs w:val="32"/>
          <w:u w:val="none"/>
          <w:lang w:val="en-US" w:eastAsia="zh-CN"/>
        </w:rPr>
        <w:t>面向</w:t>
      </w:r>
      <w:r>
        <w:rPr>
          <w:rFonts w:hint="eastAsia" w:ascii="Times New Roman" w:hAnsi="Times New Roman" w:eastAsia="仿宋_GB2312" w:cs="Times New Roman"/>
          <w:bCs/>
          <w:color w:val="auto"/>
          <w:sz w:val="32"/>
          <w:szCs w:val="32"/>
          <w:lang w:val="en-US" w:eastAsia="zh-CN"/>
        </w:rPr>
        <w:t>________</w:t>
      </w:r>
      <w:r>
        <w:rPr>
          <w:rFonts w:hint="eastAsia" w:ascii="Times New Roman" w:hAnsi="Times New Roman" w:eastAsia="仿宋_GB2312" w:cs="Times New Roman"/>
          <w:bCs/>
          <w:color w:val="auto"/>
          <w:sz w:val="32"/>
          <w:szCs w:val="32"/>
          <w:u w:val="none"/>
          <w:lang w:val="en-US" w:eastAsia="zh-CN"/>
        </w:rPr>
        <w:t>片区内</w:t>
      </w:r>
      <w:r>
        <w:rPr>
          <w:rFonts w:hint="eastAsia" w:eastAsia="仿宋_GB2312" w:cs="Times New Roman"/>
          <w:bCs/>
          <w:color w:val="auto"/>
          <w:sz w:val="32"/>
          <w:szCs w:val="32"/>
          <w:u w:val="none"/>
          <w:lang w:val="en-US" w:eastAsia="zh-CN"/>
        </w:rPr>
        <w:t>的</w:t>
      </w:r>
      <w:r>
        <w:rPr>
          <w:rFonts w:hint="eastAsia" w:ascii="Times New Roman" w:hAnsi="Times New Roman" w:eastAsia="仿宋_GB2312" w:cs="Times New Roman"/>
          <w:bCs/>
          <w:color w:val="auto"/>
          <w:sz w:val="32"/>
          <w:szCs w:val="32"/>
          <w:lang w:val="en-US" w:eastAsia="zh-CN"/>
        </w:rPr>
        <w:t>人才建立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u w:val="single"/>
        </w:rPr>
        <w:t xml:space="preserve">        </w:t>
      </w:r>
      <w:r>
        <w:rPr>
          <w:rFonts w:hint="eastAsia" w:ascii="Times New Roman" w:hAnsi="Times New Roman" w:eastAsia="仿宋_GB2312" w:cs="Times New Roman"/>
          <w:bCs/>
          <w:color w:val="auto"/>
          <w:sz w:val="32"/>
          <w:szCs w:val="32"/>
          <w:lang w:val="en-US" w:eastAsia="zh-CN"/>
        </w:rPr>
        <w:t>(片区)人才年金，具体实施管理由________(单位/机构）负责。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本方案适用于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片区内的</w:t>
      </w:r>
      <w:r>
        <w:rPr>
          <w:rFonts w:hint="eastAsia" w:eastAsia="仿宋_GB2312" w:cs="仿宋_GB2312"/>
          <w:color w:val="auto"/>
          <w:sz w:val="32"/>
          <w:szCs w:val="32"/>
          <w:lang w:val="en-US" w:eastAsia="zh-CN"/>
        </w:rPr>
        <w:t>用人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单位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经申请，以下单位自动加入本片区人才年金集合计划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：</w:t>
      </w:r>
      <w:r>
        <w:rPr>
          <w:rFonts w:hint="eastAsia" w:ascii="Times New Roman" w:hAnsi="Times New Roman" w:eastAsia="仿宋_GB2312" w:cs="Times New Roman"/>
          <w:bCs/>
          <w:color w:val="auto"/>
          <w:sz w:val="32"/>
          <w:szCs w:val="32"/>
          <w:lang w:val="en-US" w:eastAsia="zh-CN"/>
        </w:rPr>
        <w:t>________。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（单位列表附后，以下统称本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片区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textAlignment w:val="auto"/>
        <w:rPr>
          <w:rFonts w:hint="default" w:ascii="Times New Roman" w:hAnsi="Times New Roman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b/>
          <w:color w:val="auto"/>
          <w:sz w:val="32"/>
          <w:szCs w:val="32"/>
        </w:rPr>
        <w:t xml:space="preserve">第三条 </w:t>
      </w:r>
      <w:r>
        <w:rPr>
          <w:rFonts w:hint="eastAsia" w:ascii="Times New Roman" w:hAnsi="Times New Roman" w:eastAsia="仿宋_GB2312" w:cs="仿宋_GB2312"/>
          <w:color w:val="auto"/>
          <w:kern w:val="2"/>
          <w:sz w:val="32"/>
          <w:szCs w:val="32"/>
          <w:lang w:val="en-US" w:eastAsia="zh-CN" w:bidi="ar-SA"/>
        </w:rPr>
        <w:t>本片区职工参加本方案的条件：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1.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与</w:t>
      </w:r>
      <w:r>
        <w:rPr>
          <w:rFonts w:hint="eastAsia" w:eastAsia="仿宋_GB2312" w:cs="Times New Roman"/>
          <w:color w:val="auto"/>
          <w:kern w:val="2"/>
          <w:sz w:val="32"/>
          <w:szCs w:val="32"/>
          <w:lang w:val="en-US" w:eastAsia="zh-CN" w:bidi="ar-SA"/>
        </w:rPr>
        <w:t>所在单位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订立劳动合同、依法参加企业职工基本养老保险并履行缴费义务，并试用期已满的职工。</w:t>
      </w:r>
      <w:r>
        <w:rPr>
          <w:rFonts w:hint="eastAsia" w:eastAsia="仿宋_GB2312" w:cs="Times New Roman"/>
          <w:color w:val="auto"/>
          <w:kern w:val="2"/>
          <w:sz w:val="32"/>
          <w:szCs w:val="32"/>
          <w:lang w:val="en-US" w:eastAsia="zh-CN" w:bidi="ar-SA"/>
        </w:rPr>
        <w:t>原则上仅适用于未参加所在单位企业年金的职工。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仿宋_GB2312"/>
          <w:color w:val="auto"/>
          <w:kern w:val="2"/>
          <w:sz w:val="32"/>
          <w:szCs w:val="32"/>
          <w:u w:val="singl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2.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根据</w:t>
      </w:r>
      <w:r>
        <w:rPr>
          <w:rFonts w:hint="eastAsia" w:ascii="Times New Roman" w:hAnsi="Times New Roman" w:eastAsia="仿宋_GB2312" w:cs="仿宋_GB2312"/>
          <w:color w:val="auto"/>
          <w:kern w:val="2"/>
          <w:sz w:val="32"/>
          <w:szCs w:val="32"/>
          <w:lang w:val="en-US" w:eastAsia="zh-CN" w:bidi="ar-SA"/>
        </w:rPr>
        <w:t>片区发展规划与人才战略需要，发挥企业年金的人才激励作用，经所在单位职工大会或职工代表大会通过，符合以下条件的人员中可参加本片区人才年金：</w:t>
      </w:r>
      <w:r>
        <w:rPr>
          <w:rFonts w:hint="eastAsia" w:ascii="Times New Roman" w:hAnsi="Times New Roman" w:eastAsia="仿宋_GB2312" w:cs="Times New Roman"/>
          <w:bCs/>
          <w:color w:val="auto"/>
          <w:sz w:val="32"/>
          <w:szCs w:val="32"/>
          <w:lang w:val="en-US" w:eastAsia="zh-CN"/>
        </w:rPr>
        <w:t>________。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textAlignment w:val="auto"/>
        <w:rPr>
          <w:rFonts w:hint="eastAsia" w:ascii="Times New Roman" w:hAnsi="Times New Roman" w:eastAsia="仿宋_GB2312" w:cs="仿宋_GB2312"/>
          <w:bCs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color w:val="auto"/>
          <w:sz w:val="32"/>
          <w:szCs w:val="32"/>
        </w:rPr>
        <w:t>第四条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</w:rPr>
        <w:t xml:space="preserve"> 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  <w:lang w:val="en-US" w:eastAsia="zh-CN"/>
        </w:rPr>
        <w:t>人才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</w:rPr>
        <w:t>年金所需费用由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  <w:lang w:val="en-US" w:eastAsia="zh-CN"/>
        </w:rPr>
        <w:t>用人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</w:rPr>
        <w:t>单位和职工共同承担。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eastAsia="仿宋_GB2312"/>
          <w:bCs/>
          <w:color w:val="auto"/>
          <w:sz w:val="32"/>
          <w:szCs w:val="32"/>
          <w:lang w:val="en-US"/>
        </w:rPr>
      </w:pP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  <w:lang w:val="en-US" w:eastAsia="zh-CN"/>
        </w:rPr>
        <w:sym w:font="Wingdings 2" w:char="00A3"/>
      </w:r>
      <w:r>
        <w:rPr>
          <w:rFonts w:hint="eastAsia" w:ascii="Times New Roman" w:hAnsi="Times New Roman" w:eastAsia="仿宋_GB2312" w:cs="仿宋_GB2312"/>
          <w:b/>
          <w:bCs w:val="0"/>
          <w:color w:val="auto"/>
          <w:sz w:val="32"/>
          <w:szCs w:val="32"/>
        </w:rPr>
        <w:t>方式</w:t>
      </w:r>
      <w:r>
        <w:rPr>
          <w:rFonts w:hint="default" w:ascii="Times New Roman" w:hAnsi="Times New Roman" w:eastAsia="仿宋_GB2312" w:cs="Times New Roman"/>
          <w:b/>
          <w:bCs w:val="0"/>
          <w:color w:val="auto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仿宋_GB2312"/>
          <w:b/>
          <w:bCs w:val="0"/>
          <w:color w:val="auto"/>
          <w:sz w:val="32"/>
          <w:szCs w:val="32"/>
        </w:rPr>
        <w:t>：</w:t>
      </w:r>
      <w:r>
        <w:rPr>
          <w:rFonts w:hint="eastAsia" w:eastAsia="仿宋_GB2312"/>
          <w:bCs/>
          <w:color w:val="auto"/>
          <w:sz w:val="32"/>
          <w:szCs w:val="32"/>
          <w:lang w:val="en-US" w:eastAsia="zh-CN"/>
        </w:rPr>
        <w:t>单位缴费与职工个人缴费采取比例法</w:t>
      </w:r>
      <w:r>
        <w:rPr>
          <w:rFonts w:hint="eastAsia"/>
          <w:bCs/>
          <w:color w:val="auto"/>
          <w:sz w:val="32"/>
          <w:szCs w:val="32"/>
          <w:lang w:val="en-US" w:eastAsia="zh-CN"/>
        </w:rPr>
        <w:t>。</w:t>
      </w:r>
      <w:r>
        <w:rPr>
          <w:rFonts w:eastAsia="仿宋_GB2312"/>
          <w:bCs/>
          <w:color w:val="auto"/>
          <w:sz w:val="32"/>
          <w:szCs w:val="32"/>
        </w:rPr>
        <w:t>职工个人缴费基数为职工本人上年度月平均工资，月平均工资超过</w:t>
      </w:r>
      <w:r>
        <w:rPr>
          <w:rFonts w:hint="eastAsia" w:eastAsia="仿宋_GB2312"/>
          <w:bCs/>
          <w:color w:val="auto"/>
          <w:sz w:val="32"/>
          <w:szCs w:val="32"/>
          <w:lang w:val="en-US" w:eastAsia="zh-CN"/>
        </w:rPr>
        <w:t>所在</w:t>
      </w:r>
      <w:r>
        <w:rPr>
          <w:rFonts w:eastAsia="仿宋_GB2312"/>
          <w:bCs/>
          <w:color w:val="auto"/>
          <w:sz w:val="32"/>
          <w:szCs w:val="32"/>
        </w:rPr>
        <w:t>单位</w:t>
      </w:r>
      <w:r>
        <w:rPr>
          <w:rFonts w:hint="eastAsia" w:eastAsia="仿宋_GB2312"/>
          <w:bCs/>
          <w:color w:val="auto"/>
          <w:sz w:val="32"/>
          <w:szCs w:val="32"/>
          <w:lang w:val="en-US" w:eastAsia="zh-CN"/>
        </w:rPr>
        <w:t>参加人才年金职工</w:t>
      </w:r>
      <w:r>
        <w:rPr>
          <w:rFonts w:eastAsia="仿宋_GB2312"/>
          <w:bCs/>
          <w:color w:val="auto"/>
          <w:sz w:val="32"/>
          <w:szCs w:val="32"/>
        </w:rPr>
        <w:t>月人均工资</w:t>
      </w:r>
      <w:r>
        <w:rPr>
          <w:rFonts w:hint="default" w:ascii="Times New Roman" w:hAnsi="Times New Roman" w:eastAsia="仿宋_GB2312" w:cs="Times New Roman"/>
          <w:bCs/>
          <w:color w:val="auto"/>
          <w:sz w:val="32"/>
          <w:szCs w:val="32"/>
        </w:rPr>
        <w:t>5</w:t>
      </w:r>
      <w:r>
        <w:rPr>
          <w:rFonts w:eastAsia="仿宋_GB2312"/>
          <w:bCs/>
          <w:color w:val="auto"/>
          <w:sz w:val="32"/>
          <w:szCs w:val="32"/>
        </w:rPr>
        <w:t>倍的部分不作为缴费基数。单位缴费分配至职工个人账户的金额为职工个人缴费基数的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  <w:lang w:val="en-US" w:eastAsia="zh-CN"/>
        </w:rPr>
        <w:sym w:font="Wingdings 2" w:char="00A3"/>
      </w:r>
      <w:r>
        <w:rPr>
          <w:rFonts w:eastAsia="仿宋_GB2312"/>
          <w:bCs/>
          <w:color w:val="auto"/>
          <w:sz w:val="32"/>
          <w:szCs w:val="32"/>
          <w:u w:val="single"/>
        </w:rPr>
        <w:t xml:space="preserve">   </w:t>
      </w:r>
      <w:r>
        <w:rPr>
          <w:rFonts w:eastAsia="仿宋_GB2312"/>
          <w:bCs/>
          <w:color w:val="auto"/>
          <w:sz w:val="32"/>
          <w:szCs w:val="32"/>
        </w:rPr>
        <w:t>%</w:t>
      </w:r>
      <w:r>
        <w:rPr>
          <w:rFonts w:hint="eastAsia" w:eastAsia="仿宋_GB2312"/>
          <w:bCs/>
          <w:color w:val="auto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  <w:lang w:val="en-US" w:eastAsia="zh-CN"/>
        </w:rPr>
        <w:sym w:font="Wingdings 2" w:char="00A3"/>
      </w:r>
      <w:r>
        <w:rPr>
          <w:rFonts w:eastAsia="仿宋_GB2312"/>
          <w:bCs/>
          <w:color w:val="auto"/>
          <w:sz w:val="32"/>
          <w:szCs w:val="32"/>
          <w:u w:val="single"/>
        </w:rPr>
        <w:t xml:space="preserve">   </w:t>
      </w:r>
      <w:r>
        <w:rPr>
          <w:rFonts w:eastAsia="仿宋_GB2312"/>
          <w:bCs/>
          <w:color w:val="auto"/>
          <w:sz w:val="32"/>
          <w:szCs w:val="32"/>
        </w:rPr>
        <w:t>%</w:t>
      </w:r>
      <w:r>
        <w:rPr>
          <w:rFonts w:hint="eastAsia" w:eastAsia="仿宋_GB2312"/>
          <w:bCs/>
          <w:color w:val="auto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  <w:lang w:val="en-US" w:eastAsia="zh-CN"/>
        </w:rPr>
        <w:sym w:font="Wingdings 2" w:char="00A3"/>
      </w:r>
      <w:r>
        <w:rPr>
          <w:rFonts w:eastAsia="仿宋_GB2312"/>
          <w:bCs/>
          <w:color w:val="auto"/>
          <w:sz w:val="32"/>
          <w:szCs w:val="32"/>
          <w:u w:val="single"/>
        </w:rPr>
        <w:t xml:space="preserve">   </w:t>
      </w:r>
      <w:r>
        <w:rPr>
          <w:rFonts w:eastAsia="仿宋_GB2312"/>
          <w:bCs/>
          <w:color w:val="auto"/>
          <w:sz w:val="32"/>
          <w:szCs w:val="32"/>
        </w:rPr>
        <w:t>%</w:t>
      </w:r>
      <w:r>
        <w:rPr>
          <w:rFonts w:hint="eastAsia" w:eastAsia="仿宋_GB2312"/>
          <w:bCs/>
          <w:color w:val="auto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  <w:lang w:val="en-US" w:eastAsia="zh-CN"/>
        </w:rPr>
        <w:sym w:font="Wingdings 2" w:char="00A3"/>
      </w:r>
      <w:r>
        <w:rPr>
          <w:rFonts w:eastAsia="仿宋_GB2312"/>
          <w:bCs/>
          <w:color w:val="auto"/>
          <w:sz w:val="32"/>
          <w:szCs w:val="32"/>
          <w:u w:val="single"/>
        </w:rPr>
        <w:t xml:space="preserve">   </w:t>
      </w:r>
      <w:r>
        <w:rPr>
          <w:rFonts w:eastAsia="仿宋_GB2312"/>
          <w:bCs/>
          <w:color w:val="auto"/>
          <w:sz w:val="32"/>
          <w:szCs w:val="32"/>
        </w:rPr>
        <w:t>%</w:t>
      </w:r>
      <w:r>
        <w:rPr>
          <w:rFonts w:hint="eastAsia" w:eastAsia="仿宋_GB2312"/>
          <w:bCs/>
          <w:color w:val="auto"/>
          <w:sz w:val="32"/>
          <w:szCs w:val="32"/>
          <w:lang w:eastAsia="zh-CN"/>
        </w:rPr>
        <w:t>（</w:t>
      </w:r>
      <w:r>
        <w:rPr>
          <w:rFonts w:hint="eastAsia" w:eastAsia="仿宋_GB2312"/>
          <w:bCs/>
          <w:color w:val="auto"/>
          <w:sz w:val="32"/>
          <w:szCs w:val="32"/>
          <w:lang w:val="en-US" w:eastAsia="zh-CN"/>
        </w:rPr>
        <w:t>可单选、多选</w:t>
      </w:r>
      <w:r>
        <w:rPr>
          <w:rFonts w:hint="eastAsia" w:eastAsia="仿宋_GB2312"/>
          <w:bCs/>
          <w:color w:val="auto"/>
          <w:sz w:val="32"/>
          <w:szCs w:val="32"/>
          <w:lang w:eastAsia="zh-CN"/>
        </w:rPr>
        <w:t>），</w:t>
      </w:r>
      <w:r>
        <w:rPr>
          <w:rFonts w:hint="eastAsia" w:eastAsia="仿宋_GB2312"/>
          <w:bCs/>
          <w:color w:val="auto"/>
          <w:sz w:val="32"/>
          <w:szCs w:val="32"/>
          <w:lang w:val="en-US" w:eastAsia="zh-CN"/>
        </w:rPr>
        <w:t>各用人单位经与职工协商一致，可以选择以上的单位缴费比例；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</w:rPr>
        <w:t>职工个人缴费为本人缴费基数的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  <w:lang w:val="en-US" w:eastAsia="zh-CN"/>
        </w:rPr>
        <w:sym w:font="Wingdings 2" w:char="00A3"/>
      </w:r>
      <w:r>
        <w:rPr>
          <w:rFonts w:eastAsia="仿宋_GB2312"/>
          <w:bCs/>
          <w:color w:val="auto"/>
          <w:sz w:val="32"/>
          <w:szCs w:val="32"/>
          <w:u w:val="single"/>
        </w:rPr>
        <w:t xml:space="preserve">   </w:t>
      </w:r>
      <w:r>
        <w:rPr>
          <w:rFonts w:eastAsia="仿宋_GB2312"/>
          <w:bCs/>
          <w:color w:val="auto"/>
          <w:sz w:val="32"/>
          <w:szCs w:val="32"/>
        </w:rPr>
        <w:t>%</w:t>
      </w:r>
      <w:r>
        <w:rPr>
          <w:rFonts w:hint="eastAsia" w:eastAsia="仿宋_GB2312"/>
          <w:bCs/>
          <w:color w:val="auto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  <w:lang w:val="en-US" w:eastAsia="zh-CN"/>
        </w:rPr>
        <w:sym w:font="Wingdings 2" w:char="00A3"/>
      </w:r>
      <w:r>
        <w:rPr>
          <w:rFonts w:eastAsia="仿宋_GB2312"/>
          <w:bCs/>
          <w:color w:val="auto"/>
          <w:sz w:val="32"/>
          <w:szCs w:val="32"/>
          <w:u w:val="single"/>
        </w:rPr>
        <w:t xml:space="preserve">   </w:t>
      </w:r>
      <w:r>
        <w:rPr>
          <w:rFonts w:eastAsia="仿宋_GB2312"/>
          <w:bCs/>
          <w:color w:val="auto"/>
          <w:sz w:val="32"/>
          <w:szCs w:val="32"/>
        </w:rPr>
        <w:t>%</w:t>
      </w:r>
      <w:r>
        <w:rPr>
          <w:rFonts w:hint="eastAsia" w:eastAsia="仿宋_GB2312"/>
          <w:bCs/>
          <w:color w:val="auto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  <w:lang w:val="en-US" w:eastAsia="zh-CN"/>
        </w:rPr>
        <w:sym w:font="Wingdings 2" w:char="00A3"/>
      </w:r>
      <w:r>
        <w:rPr>
          <w:rFonts w:eastAsia="仿宋_GB2312"/>
          <w:bCs/>
          <w:color w:val="auto"/>
          <w:sz w:val="32"/>
          <w:szCs w:val="32"/>
          <w:u w:val="single"/>
        </w:rPr>
        <w:t xml:space="preserve">   </w:t>
      </w:r>
      <w:r>
        <w:rPr>
          <w:rFonts w:eastAsia="仿宋_GB2312"/>
          <w:bCs/>
          <w:color w:val="auto"/>
          <w:sz w:val="32"/>
          <w:szCs w:val="32"/>
        </w:rPr>
        <w:t>%</w:t>
      </w:r>
      <w:r>
        <w:rPr>
          <w:rFonts w:hint="eastAsia" w:eastAsia="仿宋_GB2312"/>
          <w:bCs/>
          <w:color w:val="auto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  <w:lang w:val="en-US" w:eastAsia="zh-CN"/>
        </w:rPr>
        <w:sym w:font="Wingdings 2" w:char="00A3"/>
      </w:r>
      <w:r>
        <w:rPr>
          <w:rFonts w:eastAsia="仿宋_GB2312"/>
          <w:bCs/>
          <w:color w:val="auto"/>
          <w:sz w:val="32"/>
          <w:szCs w:val="32"/>
          <w:u w:val="single"/>
        </w:rPr>
        <w:t xml:space="preserve">   </w:t>
      </w:r>
      <w:r>
        <w:rPr>
          <w:rFonts w:eastAsia="仿宋_GB2312"/>
          <w:bCs/>
          <w:color w:val="auto"/>
          <w:sz w:val="32"/>
          <w:szCs w:val="32"/>
        </w:rPr>
        <w:t>%</w:t>
      </w:r>
      <w:r>
        <w:rPr>
          <w:rFonts w:hint="eastAsia" w:eastAsia="仿宋_GB2312"/>
          <w:bCs/>
          <w:color w:val="auto"/>
          <w:sz w:val="32"/>
          <w:szCs w:val="32"/>
          <w:lang w:eastAsia="zh-CN"/>
        </w:rPr>
        <w:t>（</w:t>
      </w:r>
      <w:r>
        <w:rPr>
          <w:rFonts w:hint="eastAsia" w:eastAsia="仿宋_GB2312"/>
          <w:bCs/>
          <w:color w:val="auto"/>
          <w:sz w:val="32"/>
          <w:szCs w:val="32"/>
          <w:lang w:val="en-US" w:eastAsia="zh-CN"/>
        </w:rPr>
        <w:t>可单选、多选</w:t>
      </w:r>
      <w:r>
        <w:rPr>
          <w:rFonts w:hint="eastAsia" w:eastAsia="仿宋_GB2312"/>
          <w:bCs/>
          <w:color w:val="auto"/>
          <w:sz w:val="32"/>
          <w:szCs w:val="32"/>
          <w:lang w:eastAsia="zh-CN"/>
        </w:rPr>
        <w:t>），</w:t>
      </w:r>
      <w:r>
        <w:rPr>
          <w:rFonts w:hint="eastAsia" w:eastAsia="仿宋_GB2312"/>
          <w:bCs/>
          <w:color w:val="auto"/>
          <w:sz w:val="32"/>
          <w:szCs w:val="32"/>
          <w:lang w:val="en-US" w:eastAsia="zh-CN"/>
        </w:rPr>
        <w:t>职工可自主选择以上任一个人缴费比例。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  <w:lang w:val="en-US" w:eastAsia="zh-CN"/>
        </w:rPr>
        <w:t>单位和职工个人缴费总额不超过用人单位</w:t>
      </w:r>
      <w:r>
        <w:rPr>
          <w:rFonts w:hint="eastAsia" w:eastAsia="仿宋_GB2312"/>
          <w:bCs/>
          <w:color w:val="auto"/>
          <w:sz w:val="32"/>
          <w:szCs w:val="32"/>
          <w:lang w:val="en-US" w:eastAsia="zh-CN"/>
        </w:rPr>
        <w:t>参加人才年金职工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  <w:u w:val="none"/>
        </w:rPr>
        <w:t>上年度</w:t>
      </w: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</w:rPr>
        <w:t>工资总额</w:t>
      </w:r>
      <w:r>
        <w:rPr>
          <w:rFonts w:hint="eastAsia" w:ascii="Times New Roman" w:hAnsi="Times New Roman" w:eastAsia="仿宋_GB2312" w:cs="Times New Roman"/>
          <w:bCs/>
          <w:color w:val="auto"/>
          <w:sz w:val="32"/>
          <w:szCs w:val="32"/>
          <w:lang w:val="en-US" w:eastAsia="zh-CN"/>
        </w:rPr>
        <w:t>的</w:t>
      </w:r>
      <w:r>
        <w:rPr>
          <w:rFonts w:hint="default" w:ascii="Times New Roman" w:hAnsi="Times New Roman" w:eastAsia="仿宋_GB2312" w:cs="Times New Roman"/>
          <w:bCs/>
          <w:color w:val="auto"/>
          <w:sz w:val="32"/>
          <w:szCs w:val="32"/>
          <w:lang w:val="en-US" w:eastAsia="zh-CN"/>
        </w:rPr>
        <w:t>12</w:t>
      </w:r>
      <w:r>
        <w:rPr>
          <w:rFonts w:hint="eastAsia" w:ascii="Times New Roman" w:hAnsi="Times New Roman" w:eastAsia="仿宋_GB2312" w:cs="Times New Roman"/>
          <w:bCs/>
          <w:color w:val="auto"/>
          <w:sz w:val="32"/>
          <w:szCs w:val="32"/>
          <w:lang w:val="en-US" w:eastAsia="zh-CN"/>
        </w:rPr>
        <w:t>%。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楷体_GB2312" w:cs="楷体_GB2312"/>
          <w:bCs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Cs/>
          <w:color w:val="auto"/>
          <w:sz w:val="32"/>
          <w:szCs w:val="32"/>
          <w:lang w:val="en-US" w:eastAsia="zh-CN"/>
        </w:rPr>
        <w:sym w:font="Wingdings 2" w:char="00A3"/>
      </w:r>
      <w:r>
        <w:rPr>
          <w:rFonts w:hint="eastAsia" w:ascii="Times New Roman" w:hAnsi="Times New Roman" w:eastAsia="仿宋_GB2312" w:cs="仿宋_GB2312"/>
          <w:b/>
          <w:bCs w:val="0"/>
          <w:color w:val="auto"/>
          <w:sz w:val="32"/>
          <w:szCs w:val="32"/>
        </w:rPr>
        <w:t>方</w:t>
      </w:r>
      <w:r>
        <w:rPr>
          <w:rFonts w:hint="eastAsia" w:ascii="Times New Roman" w:hAnsi="Times New Roman" w:eastAsia="仿宋_GB2312" w:cs="仿宋_GB2312"/>
          <w:b/>
          <w:bCs w:val="0"/>
          <w:color w:val="auto"/>
          <w:kern w:val="2"/>
          <w:sz w:val="32"/>
          <w:szCs w:val="32"/>
          <w:lang w:val="en-US" w:eastAsia="zh-CN" w:bidi="ar-SA"/>
        </w:rPr>
        <w:t>式</w:t>
      </w:r>
      <w:r>
        <w:rPr>
          <w:rFonts w:hint="default" w:ascii="Times New Roman" w:hAnsi="Times New Roman" w:eastAsia="仿宋_GB2312" w:cs="Times New Roman"/>
          <w:b/>
          <w:bCs w:val="0"/>
          <w:color w:val="auto"/>
          <w:kern w:val="2"/>
          <w:sz w:val="32"/>
          <w:szCs w:val="32"/>
          <w:lang w:val="en-US" w:eastAsia="zh-CN" w:bidi="ar-SA"/>
        </w:rPr>
        <w:t>2</w:t>
      </w:r>
      <w:r>
        <w:rPr>
          <w:rFonts w:hint="eastAsia" w:ascii="Times New Roman" w:hAnsi="Times New Roman" w:eastAsia="仿宋_GB2312" w:cs="仿宋_GB2312"/>
          <w:b/>
          <w:bCs w:val="0"/>
          <w:color w:val="auto"/>
          <w:kern w:val="2"/>
          <w:sz w:val="32"/>
          <w:szCs w:val="32"/>
          <w:lang w:val="en-US" w:eastAsia="zh-CN" w:bidi="ar-SA"/>
        </w:rPr>
        <w:t>：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u w:val="single"/>
        </w:rPr>
        <w:t>（其他方式）</w:t>
      </w:r>
      <w:r>
        <w:rPr>
          <w:rFonts w:hint="eastAsia" w:eastAsia="仿宋_GB2312"/>
          <w:bCs/>
          <w:color w:val="auto"/>
          <w:sz w:val="32"/>
          <w:szCs w:val="32"/>
          <w:u w:val="none"/>
          <w:lang w:val="en-US" w:eastAsia="zh-CN"/>
        </w:rPr>
        <w:t>。</w:t>
      </w:r>
      <w:r>
        <w:rPr>
          <w:rFonts w:hint="eastAsia" w:ascii="Times New Roman" w:hAnsi="Times New Roman" w:eastAsia="仿宋_GB2312" w:cs="Times New Roman"/>
          <w:bCs/>
          <w:color w:val="auto"/>
          <w:kern w:val="2"/>
          <w:sz w:val="32"/>
          <w:szCs w:val="32"/>
          <w:lang w:val="en-US" w:eastAsia="zh-CN" w:bidi="ar-SA"/>
        </w:rPr>
        <w:t>企业当期缴费计入职工企业年金个人账户的最高额与平均额不超过</w:t>
      </w:r>
      <w:r>
        <w:rPr>
          <w:rFonts w:hint="default" w:ascii="Times New Roman" w:hAnsi="Times New Roman" w:eastAsia="仿宋_GB2312" w:cs="Times New Roman"/>
          <w:bCs/>
          <w:color w:val="auto"/>
          <w:kern w:val="2"/>
          <w:sz w:val="32"/>
          <w:szCs w:val="32"/>
          <w:lang w:val="en-US" w:eastAsia="zh-CN" w:bidi="ar-SA"/>
        </w:rPr>
        <w:t>5</w:t>
      </w:r>
      <w:r>
        <w:rPr>
          <w:rFonts w:hint="eastAsia" w:ascii="Times New Roman" w:hAnsi="Times New Roman" w:eastAsia="仿宋_GB2312" w:cs="Times New Roman"/>
          <w:bCs/>
          <w:color w:val="auto"/>
          <w:kern w:val="2"/>
          <w:sz w:val="32"/>
          <w:szCs w:val="32"/>
          <w:lang w:val="en-US" w:eastAsia="zh-CN" w:bidi="ar-SA"/>
        </w:rPr>
        <w:t>倍</w:t>
      </w:r>
      <w:r>
        <w:rPr>
          <w:rFonts w:hint="eastAsia" w:cs="Times New Roman"/>
          <w:bCs/>
          <w:color w:val="auto"/>
          <w:kern w:val="2"/>
          <w:sz w:val="32"/>
          <w:szCs w:val="32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jc w:val="both"/>
        <w:textAlignment w:val="auto"/>
        <w:rPr>
          <w:rFonts w:hint="eastAsia" w:ascii="Times New Roman" w:hAnsi="Times New Roman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仿宋_GB2312" w:cs="仿宋_GB2312"/>
          <w:b/>
          <w:color w:val="auto"/>
          <w:sz w:val="32"/>
          <w:szCs w:val="32"/>
          <w:lang w:val="en-US" w:eastAsia="zh-CN"/>
        </w:rPr>
        <w:t>五</w:t>
      </w:r>
      <w:r>
        <w:rPr>
          <w:rFonts w:hint="eastAsia" w:ascii="Times New Roman" w:hAnsi="Times New Roman" w:eastAsia="仿宋_GB2312" w:cs="仿宋_GB2312"/>
          <w:b/>
          <w:color w:val="auto"/>
          <w:sz w:val="32"/>
          <w:szCs w:val="32"/>
        </w:rPr>
        <w:t>条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 xml:space="preserve"> </w:t>
      </w:r>
      <w:r>
        <w:rPr>
          <w:rFonts w:hint="eastAsia" w:ascii="Times New Roman" w:hAnsi="Times New Roman" w:eastAsia="仿宋_GB2312" w:cs="仿宋_GB2312"/>
          <w:b w:val="0"/>
          <w:bCs/>
          <w:color w:val="auto"/>
          <w:sz w:val="32"/>
          <w:szCs w:val="32"/>
          <w:lang w:val="en-US" w:eastAsia="zh-CN"/>
        </w:rPr>
        <w:t>对于所在单位已建立企业年金的人才，经与企业协商一致，可自愿退出企业年金方案，选择参加片区人才年金。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629" w:firstLineChars="196"/>
        <w:textAlignment w:val="auto"/>
        <w:rPr>
          <w:rFonts w:ascii="Times New Roman" w:hAnsi="Times New Roman" w:eastAsia="仿宋_GB2312" w:cs="仿宋_GB2312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color w:val="auto"/>
          <w:sz w:val="32"/>
          <w:szCs w:val="32"/>
          <w:lang w:val="en-US" w:eastAsia="zh-CN"/>
        </w:rPr>
        <w:t xml:space="preserve">第六条 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职工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人才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年金个人账户中单位缴费及其投资收益，按以下规则归属于职工个人。未归属于职工个人的部分，记入企业账户。</w:t>
      </w:r>
    </w:p>
    <w:tbl>
      <w:tblPr>
        <w:tblStyle w:val="5"/>
        <w:tblpPr w:leftFromText="180" w:rightFromText="180" w:vertAnchor="text" w:horzAnchor="page" w:tblpX="1897" w:tblpY="269"/>
        <w:tblOverlap w:val="never"/>
        <w:tblW w:w="85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7"/>
        <w:gridCol w:w="3743"/>
        <w:gridCol w:w="17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3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权益归属核算时点</w:t>
            </w:r>
          </w:p>
        </w:tc>
        <w:tc>
          <w:tcPr>
            <w:tcW w:w="3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N</w:t>
            </w: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归属比例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303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职工与本单位解除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劳动合同</w:t>
            </w:r>
          </w:p>
        </w:tc>
        <w:tc>
          <w:tcPr>
            <w:tcW w:w="3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 xml:space="preserve">N≤ </w:t>
            </w:r>
            <w:r>
              <w:rPr>
                <w:rFonts w:hint="eastAsia" w:ascii="Times New Roman" w:hAnsi="Times New Roman" w:eastAsia="仿宋_GB2312" w:cs="宋体"/>
                <w:color w:val="auto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年</w:t>
            </w: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30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560" w:lineRule="exact"/>
              <w:jc w:val="left"/>
              <w:rPr>
                <w:rFonts w:ascii="Times New Roman" w:hAnsi="Times New Roman" w:eastAsia="仿宋_GB2312" w:cs="宋体"/>
                <w:color w:val="auto"/>
                <w:szCs w:val="21"/>
              </w:rPr>
            </w:pPr>
          </w:p>
        </w:tc>
        <w:tc>
          <w:tcPr>
            <w:tcW w:w="3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年≤N&lt;</w:t>
            </w:r>
            <w:r>
              <w:rPr>
                <w:rFonts w:hint="eastAsia" w:ascii="Times New Roman" w:hAnsi="Times New Roman" w:eastAsia="仿宋_GB2312" w:cs="宋体"/>
                <w:color w:val="auto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年</w:t>
            </w: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30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560" w:lineRule="exact"/>
              <w:jc w:val="left"/>
              <w:rPr>
                <w:rFonts w:ascii="Times New Roman" w:hAnsi="Times New Roman" w:eastAsia="仿宋_GB2312" w:cs="宋体"/>
                <w:color w:val="auto"/>
                <w:szCs w:val="21"/>
              </w:rPr>
            </w:pPr>
          </w:p>
        </w:tc>
        <w:tc>
          <w:tcPr>
            <w:tcW w:w="3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...</w:t>
            </w: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...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30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560" w:lineRule="exact"/>
              <w:jc w:val="left"/>
              <w:rPr>
                <w:rFonts w:ascii="Times New Roman" w:hAnsi="Times New Roman" w:eastAsia="仿宋_GB2312" w:cs="宋体"/>
                <w:color w:val="auto"/>
                <w:szCs w:val="21"/>
              </w:rPr>
            </w:pPr>
          </w:p>
        </w:tc>
        <w:tc>
          <w:tcPr>
            <w:tcW w:w="3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仿宋_GB2312" w:cs="宋体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N≥</w:t>
            </w:r>
            <w:r>
              <w:rPr>
                <w:rFonts w:hint="eastAsia" w:ascii="Times New Roman" w:hAnsi="Times New Roman" w:eastAsia="仿宋_GB2312" w:cs="宋体"/>
                <w:color w:val="auto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年</w:t>
            </w: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/>
              </w:rPr>
              <w:t>100</w:t>
            </w:r>
            <w:r>
              <w:rPr>
                <w:rFonts w:hint="eastAsia" w:ascii="Times New Roman" w:hAnsi="Times New Roman" w:eastAsia="仿宋_GB2312" w:cs="宋体"/>
                <w:color w:val="auto"/>
                <w:szCs w:val="21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6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left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eastAsia="仿宋_GB2312" w:cs="宋体"/>
                <w:color w:val="auto"/>
                <w:szCs w:val="21"/>
                <w:lang w:val="en-US" w:eastAsia="zh-CN"/>
              </w:rPr>
              <w:t>人才</w:t>
            </w: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年金方案终止</w:t>
            </w:r>
          </w:p>
        </w:tc>
        <w:tc>
          <w:tcPr>
            <w:tcW w:w="175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  <w:t>100</w:t>
            </w: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6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left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达到法定退休年龄、完全丧失劳动能力或者死亡</w:t>
            </w:r>
          </w:p>
        </w:tc>
        <w:tc>
          <w:tcPr>
            <w:tcW w:w="175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560" w:lineRule="exact"/>
              <w:jc w:val="left"/>
              <w:rPr>
                <w:rFonts w:ascii="Times New Roman" w:hAnsi="Times New Roman" w:eastAsia="仿宋_GB2312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6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left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非因职工过错企业解除劳动合同，或者因企业违反法律规定职工解除劳动合同</w:t>
            </w:r>
          </w:p>
        </w:tc>
        <w:tc>
          <w:tcPr>
            <w:tcW w:w="175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560" w:lineRule="exact"/>
              <w:jc w:val="left"/>
              <w:rPr>
                <w:rFonts w:ascii="Times New Roman" w:hAnsi="Times New Roman" w:eastAsia="仿宋_GB2312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6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jc w:val="left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劳动合同期满，由于企业原因不再续签劳动合同</w:t>
            </w:r>
          </w:p>
        </w:tc>
        <w:tc>
          <w:tcPr>
            <w:tcW w:w="175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560" w:lineRule="exact"/>
              <w:jc w:val="left"/>
              <w:rPr>
                <w:rFonts w:ascii="Times New Roman" w:hAnsi="Times New Roman" w:eastAsia="仿宋_GB2312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85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rPr>
                <w:rFonts w:ascii="Times New Roman" w:hAnsi="Times New Roman" w:eastAsia="仿宋_GB2312" w:cs="宋体"/>
                <w:color w:val="auto"/>
                <w:szCs w:val="21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备注：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60" w:lineRule="exact"/>
              <w:ind w:leftChars="0"/>
              <w:rPr>
                <w:rFonts w:hint="eastAsia" w:ascii="Times New Roman" w:hAnsi="Times New Roman" w:eastAsia="仿宋_GB2312" w:cs="宋体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N是指在</w:t>
            </w:r>
            <w:r>
              <w:rPr>
                <w:rFonts w:hint="eastAsia" w:eastAsia="仿宋_GB2312" w:cs="宋体"/>
                <w:color w:val="auto"/>
                <w:szCs w:val="21"/>
                <w:lang w:val="en-US" w:eastAsia="zh-CN"/>
              </w:rPr>
              <w:t>所在</w:t>
            </w:r>
            <w:r>
              <w:rPr>
                <w:rFonts w:hint="eastAsia" w:ascii="Times New Roman" w:hAnsi="Times New Roman" w:eastAsia="仿宋_GB2312" w:cs="宋体"/>
                <w:color w:val="auto"/>
                <w:szCs w:val="21"/>
              </w:rPr>
              <w:t>单位的工作年限，不得超过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</w:rPr>
              <w:t>8</w:t>
            </w:r>
            <w:r>
              <w:rPr>
                <w:rFonts w:ascii="Times New Roman" w:hAnsi="Times New Roman" w:eastAsia="仿宋_GB2312" w:cs="宋体"/>
                <w:color w:val="auto"/>
                <w:szCs w:val="21"/>
              </w:rPr>
              <w:t>（含）</w:t>
            </w:r>
            <w:r>
              <w:rPr>
                <w:rFonts w:hint="eastAsia" w:ascii="Times New Roman" w:hAnsi="Times New Roman" w:eastAsia="仿宋_GB2312" w:cs="宋体"/>
                <w:color w:val="auto"/>
                <w:szCs w:val="21"/>
                <w:lang w:eastAsia="zh-CN"/>
              </w:rPr>
              <w:t>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641"/>
        <w:textAlignment w:val="auto"/>
        <w:rPr>
          <w:color w:val="auto"/>
        </w:rPr>
      </w:pPr>
      <w:r>
        <w:rPr>
          <w:rFonts w:hint="eastAsia" w:ascii="Times New Roman" w:hAnsi="Times New Roman" w:eastAsia="仿宋_GB2312" w:cs="仿宋_GB2312"/>
          <w:b/>
          <w:color w:val="auto"/>
          <w:sz w:val="32"/>
          <w:szCs w:val="32"/>
          <w:lang w:val="en-US" w:eastAsia="zh-CN"/>
        </w:rPr>
        <w:t>第七条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 xml:space="preserve"> 人才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年金基金管理运营的所需费用，按照国家有关法律法规及企业年金基金管理合同中的相关条款确定。其中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：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正常账户的账户管理费由</w:t>
      </w:r>
      <w:r>
        <w:rPr>
          <w:rFonts w:hint="eastAsia" w:eastAsia="仿宋_GB2312" w:cs="仿宋_GB2312"/>
          <w:color w:val="auto"/>
          <w:sz w:val="32"/>
          <w:szCs w:val="32"/>
          <w:lang w:val="en-US" w:eastAsia="zh-CN"/>
        </w:rPr>
        <w:t>所在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单位缴纳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退休职工个人账户的账户管理费由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u w:val="single"/>
        </w:rPr>
        <w:t>（□个人、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u w:val="single"/>
        </w:rPr>
        <w:sym w:font="Wingdings 2" w:char="00A3"/>
      </w:r>
      <w:r>
        <w:rPr>
          <w:rFonts w:hint="eastAsia" w:eastAsia="仿宋_GB2312" w:cs="仿宋_GB2312"/>
          <w:color w:val="auto"/>
          <w:sz w:val="32"/>
          <w:szCs w:val="32"/>
          <w:u w:val="single"/>
          <w:lang w:val="en-US" w:eastAsia="zh-CN"/>
        </w:rPr>
        <w:t>所在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u w:val="single"/>
        </w:rPr>
        <w:t>单位）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负担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职工与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所在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单位终止、解除劳动合同，未就业、新就业单位没有建立企业年金或者职业年金的，其个人账户：方式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1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：作为保留账户在本计划中继续管理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保留账户的账户管理费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u w:val="single"/>
        </w:rPr>
        <w:t>（□由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u w:val="single"/>
          <w:lang w:val="en-US" w:eastAsia="zh-CN"/>
        </w:rPr>
        <w:t>所在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u w:val="single"/>
        </w:rPr>
        <w:t>单位负担、□从职工个人账户中扣除）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；方式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：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u w:val="single"/>
        </w:rPr>
        <w:t>（其他方式）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。其他费用由</w:t>
      </w:r>
      <w:r>
        <w:rPr>
          <w:rFonts w:hint="eastAsia" w:eastAsia="仿宋_GB2312" w:cs="仿宋_GB2312"/>
          <w:color w:val="auto"/>
          <w:sz w:val="32"/>
          <w:szCs w:val="32"/>
          <w:lang w:val="en-US" w:eastAsia="zh-CN"/>
        </w:rPr>
        <w:t>所在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单位和个人共同承担。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仿宋_GB2312" w:cs="仿宋_GB2312"/>
          <w:b/>
          <w:color w:val="auto"/>
          <w:sz w:val="32"/>
          <w:szCs w:val="32"/>
          <w:lang w:val="en-US" w:eastAsia="zh-CN"/>
        </w:rPr>
        <w:t>八</w:t>
      </w:r>
      <w:r>
        <w:rPr>
          <w:rFonts w:hint="eastAsia" w:ascii="Times New Roman" w:hAnsi="Times New Roman" w:eastAsia="仿宋_GB2312" w:cs="仿宋_GB2312"/>
          <w:b/>
          <w:color w:val="auto"/>
          <w:sz w:val="32"/>
          <w:szCs w:val="32"/>
        </w:rPr>
        <w:t xml:space="preserve">条 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本方案自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u w:val="single"/>
        </w:rPr>
        <w:t>××年×月×日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起开始实施。</w:t>
      </w:r>
    </w:p>
    <w:p/>
    <w:sectPr>
      <w:pgSz w:w="11906" w:h="16838"/>
      <w:pgMar w:top="2098" w:right="1531" w:bottom="1474" w:left="1531" w:header="851" w:footer="992" w:gutter="0"/>
      <w:cols w:space="0" w:num="1"/>
      <w:titlePg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EFD1312"/>
    <w:rsid w:val="DEFD1312"/>
    <w:rsid w:val="FF8A8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tLeast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unhideWhenUsed/>
    <w:qFormat/>
    <w:uiPriority w:val="39"/>
    <w:pPr>
      <w:tabs>
        <w:tab w:val="right" w:leader="dot" w:pos="8302"/>
      </w:tabs>
      <w:jc w:val="center"/>
    </w:pPr>
    <w:rPr>
      <w:rFonts w:ascii="Calibri" w:hAnsi="Calibri" w:eastAsia="宋体" w:cs="Times New Roman"/>
      <w:szCs w:val="20"/>
    </w:rPr>
  </w:style>
  <w:style w:type="paragraph" w:styleId="4">
    <w:name w:val="footnote text"/>
    <w:basedOn w:val="1"/>
    <w:unhideWhenUsed/>
    <w:qFormat/>
    <w:uiPriority w:val="0"/>
    <w:pPr>
      <w:snapToGrid w:val="0"/>
      <w:jc w:val="left"/>
    </w:pPr>
    <w:rPr>
      <w:sz w:val="18"/>
    </w:rPr>
  </w:style>
  <w:style w:type="paragraph" w:customStyle="1" w:styleId="7">
    <w:name w:val="Default"/>
    <w:basedOn w:val="1"/>
    <w:qFormat/>
    <w:uiPriority w:val="99"/>
    <w:pPr>
      <w:autoSpaceDE w:val="0"/>
      <w:autoSpaceDN w:val="0"/>
      <w:adjustRightInd w:val="0"/>
    </w:pPr>
    <w:rPr>
      <w:rFonts w:ascii="仿宋_GB2312" w:eastAsia="仿宋_GB2312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2025-01-03T18:03:00Z</dcterms:created>
  <dc:creator>陈铭</dc:creator>
  <cp:lastModifiedBy>陈铭</cp:lastModifiedBy>
  <dcterms:modified xsi:type="dcterms:W3CDTF">2025-01-03T18:04:01Z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2052-11.8.2.12024</vt:lpwstr>
  </property>
  <property fmtid="{D5CDD505-2E9C-101B-9397-08002B2CF9AE}" pid="3" name="ICV">
    <vt:lpwstr>FDC89F46C543BE8EF9B57767CC507C2C</vt:lpwstr>
  </property>
</Properties>
</file>